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4FD6EE" wp14:editId="14F54BAB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6E" w:rsidRDefault="005B0C91" w:rsidP="0056076E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76E" w:rsidRPr="0056076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 deliver high standards of 1st, 2nd and 3rd line IT support for all hospital staff and users. Plan and implement project-based work to support defined strategic goals</w:t>
                            </w:r>
                          </w:p>
                          <w:p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rFonts w:cs="Arial"/>
                                <w:sz w:val="16"/>
                                <w:szCs w:val="16"/>
                              </w:rPr>
                              <w:t>Work within the Hospital IT team, plan and implement high standards of 1st, 2nd and 3rd line IT support for all hospital staff and users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Operate in compliance with the Hospital’s IT practices and procedures to defined service level agreements. 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Be expected to plan and implement project-based work supporting defined strategic goals. 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rFonts w:cs="Arial"/>
                                <w:sz w:val="16"/>
                                <w:szCs w:val="16"/>
                              </w:rPr>
                              <w:t>Cover an extended day shift pattern between 08:00 – 18:00 5 days/week and occasional requirement for out-of-hours and weekend working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Follow standard operating policies and procedures of work however they are expected to use their initiative and make decisions regarding 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rFonts w:cs="Arial"/>
                                <w:sz w:val="16"/>
                                <w:szCs w:val="16"/>
                              </w:rPr>
                              <w:t>prioritising their own workload to deliver the role effectively</w:t>
                            </w:r>
                          </w:p>
                          <w:p w:rsidR="000C6E36" w:rsidRPr="00F103F3" w:rsidRDefault="000C6E36" w:rsidP="0056076E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56076E" w:rsidRDefault="005B0C91" w:rsidP="0056076E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56076E" w:rsidRPr="0056076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 deliver high standards of 1st, 2nd and 3rd line IT support for all hospital staff and users. Plan and implement project-based work to support defined strategic goals</w:t>
                      </w:r>
                    </w:p>
                    <w:p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076E">
                        <w:rPr>
                          <w:rFonts w:cs="Arial"/>
                          <w:sz w:val="16"/>
                          <w:szCs w:val="16"/>
                        </w:rPr>
                        <w:t>Work within the Hospital IT team, plan and implement high standards of 1st, 2nd and 3rd line IT support for all hospital staff and users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076E">
                        <w:rPr>
                          <w:rFonts w:cs="Arial"/>
                          <w:sz w:val="16"/>
                          <w:szCs w:val="16"/>
                        </w:rPr>
                        <w:t xml:space="preserve">Operate in compliance with the Hospital’s IT practices and procedures to defined service level agreements. 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076E">
                        <w:rPr>
                          <w:rFonts w:cs="Arial"/>
                          <w:sz w:val="16"/>
                          <w:szCs w:val="16"/>
                        </w:rPr>
                        <w:t xml:space="preserve">Be expected to plan and implement project-based work supporting defined strategic goals. 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076E">
                        <w:rPr>
                          <w:rFonts w:cs="Arial"/>
                          <w:sz w:val="16"/>
                          <w:szCs w:val="16"/>
                        </w:rPr>
                        <w:t>Cover an extended day shift pattern between 08:00 – 18:00 5 days/week and occasional requirement for out-of-hours and weekend working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076E">
                        <w:rPr>
                          <w:rFonts w:cs="Arial"/>
                          <w:sz w:val="16"/>
                          <w:szCs w:val="16"/>
                        </w:rPr>
                        <w:t xml:space="preserve">Follow standard operating policies and procedures of work however they are expected to use their initiative and make decisions regarding 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6076E">
                        <w:rPr>
                          <w:rFonts w:cs="Arial"/>
                          <w:sz w:val="16"/>
                          <w:szCs w:val="16"/>
                        </w:rPr>
                        <w:t>prioritising their own workload to deliver the role effectively</w:t>
                      </w:r>
                    </w:p>
                    <w:p w:rsidR="000C6E36" w:rsidRPr="00F103F3" w:rsidRDefault="000C6E36" w:rsidP="0056076E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56076E">
                              <w:rPr>
                                <w:b/>
                                <w:color w:val="E20886"/>
                                <w:sz w:val="52"/>
                              </w:rPr>
                              <w:t>Infrastructure Engineer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4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56076E">
                        <w:rPr>
                          <w:b/>
                          <w:color w:val="E20886"/>
                          <w:sz w:val="52"/>
                        </w:rPr>
                        <w:t>Infrastructure Engineer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7530E" wp14:editId="763A1175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CBC9963" wp14:editId="5A552362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Pr="00716AF6" w:rsidRDefault="000C6E36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-664845</wp:posOffset>
                </wp:positionH>
                <wp:positionV relativeFrom="paragraph">
                  <wp:posOffset>381000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Undertake a wide range of technical work to support the end-to-end IT service delivery function, including the logging, ownership and management of incidents; communication with stakeholders; implementation of agreed solutions; problem solving and escalation of unknown solutions; produce and maintain documentation; take an active role in knowledge sharing amongst the IT team.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Undertake routine, planned and emergency maintenance/changes to IT systems as allocated e.g. servers, security solutions, virtual technology, storage technology, thin client technology, remote access, Active Directory, deployment tools etc.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Plan, implement and test new solutions and upgrades as assigned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Responsible for the documentation and maintenance of operational procedures and policies 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Responsible for advocating Information Security best practice </w:t>
                            </w:r>
                            <w:proofErr w:type="gramStart"/>
                            <w:r w:rsidRPr="0056076E">
                              <w:rPr>
                                <w:sz w:val="16"/>
                                <w:szCs w:val="16"/>
                              </w:rPr>
                              <w:t>at all times</w:t>
                            </w:r>
                            <w:proofErr w:type="gramEnd"/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Assist with developing local delivery plans and the overall IT strategy</w:t>
                            </w:r>
                          </w:p>
                          <w:p w:rsidR="004D190F" w:rsidRPr="00F103F3" w:rsidRDefault="004D190F" w:rsidP="0056076E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29" type="#_x0000_t202" style="position:absolute;left:0;text-align:left;margin-left:-52.35pt;margin-top:30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" filled="f" stroked="f">
                <v:textbox>
                  <w:txbxContent>
                    <w:p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Undertake a wide range of technical work to support the end-to-end IT service delivery function, including the logging, ownership and management of incidents; communication with stakeholders; implementation of agreed solutions; problem solving and escalation of unknown solutions; produce and maintain documentation; take an active role in knowledge sharing amongst the IT team.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Undertake routine, planned and emergency maintenance/changes to IT systems as allocated e.g. servers, security solutions, virtual technology, storage technology, thin client technology, remote access, Active Directory, deployment tools etc.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Plan, implement and test new solutions and upgrades as assigned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Responsible for the documentation and maintenance of operational procedures and policies 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Responsible for advocating Information Security best practice </w:t>
                      </w:r>
                      <w:proofErr w:type="gramStart"/>
                      <w:r w:rsidRPr="0056076E">
                        <w:rPr>
                          <w:sz w:val="16"/>
                          <w:szCs w:val="16"/>
                        </w:rPr>
                        <w:t>at all times</w:t>
                      </w:r>
                      <w:proofErr w:type="gramEnd"/>
                      <w:r w:rsidRPr="0056076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Assist with developing local delivery plans and the overall IT strategy</w:t>
                      </w:r>
                    </w:p>
                    <w:p w:rsidR="004D190F" w:rsidRPr="00F103F3" w:rsidRDefault="004D190F" w:rsidP="0056076E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56076E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4457701</wp:posOffset>
                </wp:positionH>
                <wp:positionV relativeFrom="paragraph">
                  <wp:posOffset>30479</wp:posOffset>
                </wp:positionV>
                <wp:extent cx="2952750" cy="4705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70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076E">
                              <w:rPr>
                                <w:sz w:val="16"/>
                                <w:szCs w:val="16"/>
                              </w:rPr>
                              <w:t>Solid understand of Microsoft Server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DHCP, DNS, Active Directory and Group Policy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VMware, ESX Hosts and configuration.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Network management experience ideally Cisco Meraki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076E">
                              <w:rPr>
                                <w:sz w:val="16"/>
                                <w:szCs w:val="16"/>
                              </w:rPr>
                              <w:t>Netapp</w:t>
                            </w:r>
                            <w:proofErr w:type="spellEnd"/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 Storage Manager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Exchange Management Console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076E">
                              <w:rPr>
                                <w:sz w:val="16"/>
                                <w:szCs w:val="16"/>
                              </w:rPr>
                              <w:t>VMTools</w:t>
                            </w:r>
                            <w:proofErr w:type="spellEnd"/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Office 365 Hosted Exchange (Azure)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Firewall administration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Citrix published Apps using </w:t>
                            </w:r>
                            <w:proofErr w:type="spellStart"/>
                            <w:r w:rsidRPr="0056076E">
                              <w:rPr>
                                <w:sz w:val="16"/>
                                <w:szCs w:val="16"/>
                              </w:rPr>
                              <w:t>Xenapp</w:t>
                            </w:r>
                            <w:proofErr w:type="spellEnd"/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 (application packaging)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VoIP Telephone systems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Microsoft SCCM, WSUS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Print servers, MFD’s, Desktop Printing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Microsoft SQL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Endpoint Protection, Mobile Devices, </w:t>
                            </w:r>
                            <w:proofErr w:type="spellStart"/>
                            <w:r w:rsidRPr="0056076E">
                              <w:rPr>
                                <w:sz w:val="16"/>
                                <w:szCs w:val="16"/>
                              </w:rPr>
                              <w:t>InTune</w:t>
                            </w:r>
                            <w:proofErr w:type="spellEnd"/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Monitoring tools e.g. PRTG, </w:t>
                            </w:r>
                            <w:proofErr w:type="spellStart"/>
                            <w:r w:rsidRPr="0056076E">
                              <w:rPr>
                                <w:sz w:val="16"/>
                                <w:szCs w:val="16"/>
                              </w:rPr>
                              <w:t>Solarwinds</w:t>
                            </w:r>
                            <w:proofErr w:type="spellEnd"/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Microsoft Licensing models.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Experience of working within a Service Desk environment using the ITIL framework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Educated to post-graduate degree level or equivalent experience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Relevant IT qualifications i.e. ITIL, MCP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Demonstrable experience of carrying out implementations and upgrades</w:t>
                            </w:r>
                          </w:p>
                          <w:p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0" type="#_x0000_t202" style="position:absolute;margin-left:351pt;margin-top:2.4pt;width:232.5pt;height:37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076E">
                        <w:rPr>
                          <w:sz w:val="16"/>
                          <w:szCs w:val="16"/>
                        </w:rPr>
                        <w:t>Solid understand of Microsoft Server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DHCP, DNS, Active Directory and Group Policy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VMware, ESX Hosts and configuration.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Network management experience ideally Cisco Meraki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6076E">
                        <w:rPr>
                          <w:sz w:val="16"/>
                          <w:szCs w:val="16"/>
                        </w:rPr>
                        <w:t>Netapp</w:t>
                      </w:r>
                      <w:proofErr w:type="spellEnd"/>
                      <w:r w:rsidRPr="0056076E">
                        <w:rPr>
                          <w:sz w:val="16"/>
                          <w:szCs w:val="16"/>
                        </w:rPr>
                        <w:t xml:space="preserve"> Storage Manager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Exchange Management Console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6076E">
                        <w:rPr>
                          <w:sz w:val="16"/>
                          <w:szCs w:val="16"/>
                        </w:rPr>
                        <w:t>VMTools</w:t>
                      </w:r>
                      <w:proofErr w:type="spellEnd"/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Office 365 Hosted Exchange (Azure)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Firewall administration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Citrix published Apps using </w:t>
                      </w:r>
                      <w:proofErr w:type="spellStart"/>
                      <w:r w:rsidRPr="0056076E">
                        <w:rPr>
                          <w:sz w:val="16"/>
                          <w:szCs w:val="16"/>
                        </w:rPr>
                        <w:t>Xenapp</w:t>
                      </w:r>
                      <w:proofErr w:type="spellEnd"/>
                      <w:r w:rsidRPr="0056076E">
                        <w:rPr>
                          <w:sz w:val="16"/>
                          <w:szCs w:val="16"/>
                        </w:rPr>
                        <w:t xml:space="preserve"> (application packaging)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VoIP Telephone systems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Microsoft SCCM, WSUS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Print servers, MFD’s, Desktop Printing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Microsoft SQL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Endpoint Protection, Mobile Devices, </w:t>
                      </w:r>
                      <w:proofErr w:type="spellStart"/>
                      <w:r w:rsidRPr="0056076E">
                        <w:rPr>
                          <w:sz w:val="16"/>
                          <w:szCs w:val="16"/>
                        </w:rPr>
                        <w:t>InTune</w:t>
                      </w:r>
                      <w:proofErr w:type="spellEnd"/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Monitoring tools e.g. PRTG, </w:t>
                      </w:r>
                      <w:proofErr w:type="spellStart"/>
                      <w:r w:rsidRPr="0056076E">
                        <w:rPr>
                          <w:sz w:val="16"/>
                          <w:szCs w:val="16"/>
                        </w:rPr>
                        <w:t>Solarwinds</w:t>
                      </w:r>
                      <w:proofErr w:type="spellEnd"/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Microsoft Licensing models.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Experience of working within a Service Desk environment using the ITIL framework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Educated to post-graduate degree level or equivalent experience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Relevant IT qualifications i.e. ITIL, MCP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Demonstrable experience of carrying out implementations and upgrades</w:t>
                      </w:r>
                    </w:p>
                    <w:p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2533649</wp:posOffset>
                </wp:positionH>
                <wp:positionV relativeFrom="paragraph">
                  <wp:posOffset>29210</wp:posOffset>
                </wp:positionV>
                <wp:extent cx="19716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:rsidR="0056076E" w:rsidRPr="0056076E" w:rsidRDefault="000C6E36" w:rsidP="0056076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076E" w:rsidRPr="0056076E">
                              <w:rPr>
                                <w:sz w:val="16"/>
                                <w:szCs w:val="16"/>
                              </w:rPr>
                              <w:t>The postholder is expected to be familiar with, and work in line with, the Hospital’s values</w:t>
                            </w:r>
                          </w:p>
                          <w:p w:rsidR="0056076E" w:rsidRPr="0056076E" w:rsidRDefault="0056076E" w:rsidP="0056076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6076E">
                              <w:rPr>
                                <w:sz w:val="16"/>
                                <w:szCs w:val="16"/>
                              </w:rPr>
                              <w:t>Performance will be measured against the specific objectives, targets and “values-led” behaviours as identified and agreed within the Performance &amp; Development Review (PDR) process</w:t>
                            </w:r>
                          </w:p>
                          <w:p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1" type="#_x0000_t202" style="position:absolute;margin-left:199.5pt;margin-top:2.3pt;width:155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JDw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" filled="f" stroked="f">
                <v:textbox>
                  <w:txbxContent>
                    <w:p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:rsidR="0056076E" w:rsidRPr="0056076E" w:rsidRDefault="000C6E36" w:rsidP="0056076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076E" w:rsidRPr="0056076E">
                        <w:rPr>
                          <w:sz w:val="16"/>
                          <w:szCs w:val="16"/>
                        </w:rPr>
                        <w:t>The postholder is expected to be familiar with, and work in line with, the Hospital’s values</w:t>
                      </w:r>
                    </w:p>
                    <w:p w:rsidR="0056076E" w:rsidRPr="0056076E" w:rsidRDefault="0056076E" w:rsidP="0056076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56076E">
                        <w:rPr>
                          <w:sz w:val="16"/>
                          <w:szCs w:val="16"/>
                        </w:rPr>
                        <w:t>Performance will be measured against the specific objectives, targets and “values-led” behaviours as identified and agreed within the Performance &amp; Development Review (PDR) process</w:t>
                      </w:r>
                    </w:p>
                    <w:p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716AF6" w:rsidP="00716AF6"/>
    <w:p w:rsidR="00716AF6" w:rsidRDefault="00716AF6" w:rsidP="00716AF6">
      <w:pPr>
        <w:tabs>
          <w:tab w:val="left" w:pos="11969"/>
        </w:tabs>
      </w:pPr>
      <w:r>
        <w:tab/>
      </w:r>
    </w:p>
    <w:p w:rsidR="008D3B0A" w:rsidRDefault="00716AF6" w:rsidP="00716AF6">
      <w:pPr>
        <w:tabs>
          <w:tab w:val="left" w:pos="12188"/>
        </w:tabs>
      </w:pPr>
      <w:r>
        <w:tab/>
      </w:r>
    </w:p>
    <w:p w:rsidR="008D3B0A" w:rsidRDefault="008D3B0A">
      <w:r>
        <w:br w:type="page"/>
      </w:r>
    </w:p>
    <w:p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15F93" wp14:editId="5E3C872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3200400"/>
                                  <wp:effectExtent l="0" t="0" r="0" b="1905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  <w:p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5F93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86400" cy="3200400"/>
                            <wp:effectExtent l="0" t="0" r="0" b="1905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:rsidR="00147460" w:rsidRDefault="00147460" w:rsidP="00147460">
                      <w:pPr>
                        <w:jc w:val="center"/>
                      </w:pPr>
                    </w:p>
                    <w:p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3891B7CE" wp14:editId="494519C0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5E84"/>
    <w:multiLevelType w:val="hybridMultilevel"/>
    <w:tmpl w:val="57FE0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3C56"/>
    <w:multiLevelType w:val="hybridMultilevel"/>
    <w:tmpl w:val="C360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6076E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E6095C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Head of IT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IT Support Services Team Leader</a:t>
          </a:r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Infrastructure Engineer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44B964B-6C68-45AD-9EF8-1ED3E52C5731}" type="pres">
      <dgm:prSet presAssocID="{F0AA6DA5-D6B5-4149-B221-E77D6D87B8B1}" presName="Name37" presStyleLbl="parChTrans1D2" presStyleIdx="0" presStyleCnt="2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0" presStyleCnt="1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0" presStyleCnt="1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1" presStyleCnt="2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1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4A461299-EF6F-40F9-8DD1-0FA241B4AEC3}" type="presParOf" srcId="{B7F1B34C-B23E-4924-9513-397D4B917A56}" destId="{544B964B-6C68-45AD-9EF8-1ED3E52C5731}" srcOrd="0" destOrd="0" presId="urn:microsoft.com/office/officeart/2005/8/layout/orgChart1"/>
    <dgm:cxn modelId="{9FEE562D-D9D0-42E8-82E2-68FBF77E751D}" type="presParOf" srcId="{B7F1B34C-B23E-4924-9513-397D4B917A56}" destId="{9C29BDD1-EA05-4521-B21D-E71FF8645BA9}" srcOrd="1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Head of IT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IT Support Services Team Leader</a:t>
          </a:r>
        </a:p>
      </dgm:t>
    </dgm:pt>
    <dgm:pt modelId="{D2C36DC4-12DA-4AFD-AA94-BC893D84D432}" type="parTrans" cxnId="{7EE61085-F1D8-4FAE-BF9A-D4406EA026E9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Infrastructure Engineer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44B964B-6C68-45AD-9EF8-1ED3E52C5731}" type="pres">
      <dgm:prSet presAssocID="{F0AA6DA5-D6B5-4149-B221-E77D6D87B8B1}" presName="Name37" presStyleLbl="parChTrans1D2" presStyleIdx="0" presStyleCnt="2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0" presStyleCnt="1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0" presStyleCnt="1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1" presStyleCnt="2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1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4A461299-EF6F-40F9-8DD1-0FA241B4AEC3}" type="presParOf" srcId="{B7F1B34C-B23E-4924-9513-397D4B917A56}" destId="{544B964B-6C68-45AD-9EF8-1ED3E52C5731}" srcOrd="0" destOrd="0" presId="urn:microsoft.com/office/officeart/2005/8/layout/orgChart1"/>
    <dgm:cxn modelId="{9FEE562D-D9D0-42E8-82E2-68FBF77E751D}" type="presParOf" srcId="{B7F1B34C-B23E-4924-9513-397D4B917A56}" destId="{9C29BDD1-EA05-4521-B21D-E71FF8645BA9}" srcOrd="1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3072224" y="833865"/>
          <a:ext cx="174924" cy="766334"/>
        </a:xfrm>
        <a:custGeom>
          <a:avLst/>
          <a:gdLst/>
          <a:ahLst/>
          <a:cxnLst/>
          <a:rect l="0" t="0" r="0" b="0"/>
          <a:pathLst>
            <a:path>
              <a:moveTo>
                <a:pt x="174924" y="0"/>
              </a:moveTo>
              <a:lnTo>
                <a:pt x="174924" y="766334"/>
              </a:lnTo>
              <a:lnTo>
                <a:pt x="0" y="766334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3201428" y="833865"/>
          <a:ext cx="91440" cy="1532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26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2414175" y="892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Head of IT</a:t>
          </a:r>
        </a:p>
      </dsp:txBody>
      <dsp:txXfrm>
        <a:off x="2414175" y="892"/>
        <a:ext cx="1665944" cy="832972"/>
      </dsp:txXfrm>
    </dsp:sp>
    <dsp:sp modelId="{BA5E169A-ECC5-4A90-8068-EA7E1D14B852}">
      <dsp:nvSpPr>
        <dsp:cNvPr id="0" name=""/>
        <dsp:cNvSpPr/>
      </dsp:nvSpPr>
      <dsp:spPr>
        <a:xfrm>
          <a:off x="2414175" y="2366534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Infrastructure Engineer</a:t>
          </a:r>
        </a:p>
      </dsp:txBody>
      <dsp:txXfrm>
        <a:off x="2414175" y="2366534"/>
        <a:ext cx="1665944" cy="832972"/>
      </dsp:txXfrm>
    </dsp:sp>
    <dsp:sp modelId="{021F1EDF-08E1-427F-8A49-184D826CAB1D}">
      <dsp:nvSpPr>
        <dsp:cNvPr id="0" name=""/>
        <dsp:cNvSpPr/>
      </dsp:nvSpPr>
      <dsp:spPr>
        <a:xfrm>
          <a:off x="1406279" y="1183713"/>
          <a:ext cx="1665944" cy="83297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IT Support Services Team Leader</a:t>
          </a:r>
        </a:p>
      </dsp:txBody>
      <dsp:txXfrm>
        <a:off x="1406279" y="1183713"/>
        <a:ext cx="1665944" cy="83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61EF-3C75-4398-9E09-4AEE835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Dallas Morley</cp:lastModifiedBy>
  <cp:revision>2</cp:revision>
  <cp:lastPrinted>2018-05-25T14:27:00Z</cp:lastPrinted>
  <dcterms:created xsi:type="dcterms:W3CDTF">2020-03-09T14:51:00Z</dcterms:created>
  <dcterms:modified xsi:type="dcterms:W3CDTF">2020-03-09T14:51:00Z</dcterms:modified>
</cp:coreProperties>
</file>